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1C" w:rsidRDefault="00A3571C" w:rsidP="00A3571C">
      <w:pPr>
        <w:pStyle w:val="aff9"/>
      </w:pPr>
      <w:bookmarkStart w:id="0" w:name="_GoBack"/>
      <w:bookmarkEnd w:id="0"/>
      <w:r>
        <w:t>Зарегистрировано в Минюсте РФ 1 октября 2013 г.</w:t>
      </w:r>
    </w:p>
    <w:p w:rsidR="00A3571C" w:rsidRDefault="00A3571C" w:rsidP="00A3571C">
      <w:pPr>
        <w:pStyle w:val="aff9"/>
      </w:pPr>
      <w:r>
        <w:t>Регистрационный № 30067</w:t>
      </w:r>
    </w:p>
    <w:p w:rsidR="00A3571C" w:rsidRPr="00AB53F2" w:rsidRDefault="00A3571C">
      <w:pPr>
        <w:pStyle w:val="1"/>
      </w:pPr>
    </w:p>
    <w:p w:rsidR="00A3571C" w:rsidRDefault="00A3571C">
      <w:pPr>
        <w:pStyle w:val="1"/>
      </w:pPr>
      <w:r>
        <w:t>Приказ Министерства образования и науки РФ от 30 августа 2013 г. № 1015</w:t>
      </w:r>
      <w: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3571C" w:rsidRDefault="00A3571C"/>
    <w:p w:rsidR="00A3571C" w:rsidRDefault="00A3571C">
      <w:r>
        <w:t>В соответствии с частью 11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 приказываю:</w:t>
      </w:r>
    </w:p>
    <w:p w:rsidR="00A3571C" w:rsidRDefault="00A3571C">
      <w: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3571C" w:rsidRDefault="00A357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A3571C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71C" w:rsidRDefault="00A3571C">
            <w:pPr>
              <w:pStyle w:val="af7"/>
            </w:pPr>
            <w:r>
              <w:t>Первый заместитель Министра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3571C" w:rsidRDefault="00A3571C">
            <w:pPr>
              <w:pStyle w:val="af9"/>
            </w:pPr>
            <w:r>
              <w:t>Н.В. Третьяк</w:t>
            </w:r>
          </w:p>
        </w:tc>
      </w:tr>
    </w:tbl>
    <w:p w:rsidR="00A3571C" w:rsidRDefault="00A3571C"/>
    <w:p w:rsidR="00A3571C" w:rsidRDefault="00A3571C"/>
    <w:p w:rsidR="00A3571C" w:rsidRDefault="00A3571C">
      <w:pPr>
        <w:jc w:val="right"/>
      </w:pPr>
      <w:r>
        <w:t>Приложение</w:t>
      </w:r>
    </w:p>
    <w:p w:rsidR="00A3571C" w:rsidRDefault="00A3571C"/>
    <w:p w:rsidR="00A3571C" w:rsidRDefault="00A3571C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br/>
        <w:t>(утв. приказом Министерства образования и науки РФ от 30 августа 2013 г. № 1015)</w:t>
      </w:r>
    </w:p>
    <w:p w:rsidR="00A3571C" w:rsidRDefault="00A3571C"/>
    <w:p w:rsidR="00A3571C" w:rsidRDefault="00A3571C">
      <w:pPr>
        <w:pStyle w:val="1"/>
      </w:pPr>
      <w:r>
        <w:t>I. Общие положения</w:t>
      </w:r>
    </w:p>
    <w:p w:rsidR="00A3571C" w:rsidRDefault="00A3571C"/>
    <w:p w:rsidR="00A3571C" w:rsidRDefault="00A3571C"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A3571C" w:rsidRDefault="00A3571C">
      <w: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“кадетская школа”, “кадетский (морской кадетский) корпус”и “казачий кадетский корпус”,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A3571C" w:rsidRDefault="00A3571C"/>
    <w:p w:rsidR="00A3571C" w:rsidRDefault="00A3571C">
      <w:pPr>
        <w:pStyle w:val="1"/>
      </w:pPr>
      <w:r>
        <w:t>II. Организация и осуществление образовательной деятельности</w:t>
      </w:r>
    </w:p>
    <w:p w:rsidR="00A3571C" w:rsidRDefault="00A3571C"/>
    <w:p w:rsidR="00A3571C" w:rsidRDefault="00A3571C"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A3571C" w:rsidRDefault="00A3571C">
      <w:r>
        <w:t xml:space="preserve"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</w:t>
      </w:r>
      <w:r>
        <w:lastRenderedPageBreak/>
        <w:t>несовершеннолетнего обучающегося формы получения общего образования и формы обучения учитывается мнение ребенка*(1).</w:t>
      </w:r>
    </w:p>
    <w:p w:rsidR="00A3571C" w:rsidRDefault="00A3571C"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проживают*(2).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организациях*(3).</w:t>
      </w:r>
    </w:p>
    <w:p w:rsidR="00A3571C" w:rsidRDefault="00A3571C">
      <w: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“Об образовании в Российской Федерации”*(4).</w:t>
      </w:r>
    </w:p>
    <w:p w:rsidR="00A3571C" w:rsidRDefault="00A3571C">
      <w:r>
        <w:t>Допускается сочетание различных форм получения образования и форм обучения*(5).</w:t>
      </w:r>
    </w:p>
    <w:p w:rsidR="00A3571C" w:rsidRDefault="00A3571C">
      <w: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A3571C" w:rsidRDefault="00A3571C"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3571C" w:rsidRDefault="00A3571C"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образования*(6).</w:t>
      </w:r>
    </w:p>
    <w:p w:rsidR="00A3571C" w:rsidRDefault="00A3571C"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3571C" w:rsidRDefault="00A3571C"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3571C" w:rsidRDefault="00A3571C"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A3571C" w:rsidRDefault="00A3571C"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программ*(7).</w:t>
      </w:r>
    </w:p>
    <w:p w:rsidR="00A3571C" w:rsidRDefault="00A3571C"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3571C" w:rsidRDefault="00A3571C"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3571C" w:rsidRDefault="00A3571C"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обучение*(8).</w:t>
      </w:r>
    </w:p>
    <w:p w:rsidR="00A3571C" w:rsidRDefault="00A3571C"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реализации*(9).</w:t>
      </w:r>
    </w:p>
    <w:p w:rsidR="00A3571C" w:rsidRDefault="00A3571C">
      <w: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</w:t>
      </w:r>
      <w:r>
        <w:lastRenderedPageBreak/>
        <w:t>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A3571C" w:rsidRDefault="00A3571C"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технологий*(10).</w:t>
      </w:r>
    </w:p>
    <w:p w:rsidR="00A3571C" w:rsidRDefault="00A3571C"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3571C" w:rsidRDefault="00A3571C"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Федерации*(11).</w:t>
      </w:r>
    </w:p>
    <w:p w:rsidR="00A3571C" w:rsidRDefault="00A3571C"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организации*(12).</w:t>
      </w:r>
    </w:p>
    <w:p w:rsidR="00A3571C" w:rsidRDefault="00A3571C">
      <w:r>
        <w:t>15. Образовательная организация создает условия для реализации общеобразовательных программ.</w:t>
      </w:r>
    </w:p>
    <w:p w:rsidR="00A3571C" w:rsidRDefault="00A3571C">
      <w:r>
        <w:t>В образовательной организации могут быть созданы условия для проживания учащихся в интернате*(13).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3571C" w:rsidRDefault="00A3571C"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A3571C" w:rsidRDefault="00A3571C"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18. Наполняемость классов, за исключением классов компенсирующего обучения, не должна превышать 25 человек*(14).</w:t>
      </w:r>
    </w:p>
    <w:p w:rsidR="00A3571C" w:rsidRDefault="00A3571C"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самостоятельно*(15).</w:t>
      </w:r>
    </w:p>
    <w:p w:rsidR="00A3571C" w:rsidRDefault="00A3571C"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A3571C" w:rsidRDefault="00A3571C"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3571C" w:rsidRDefault="00A3571C">
      <w:r>
        <w:t xml:space="preserve">Учащиеся, освоившие в полном объеме соответствующую образовательную программу </w:t>
      </w:r>
      <w:r>
        <w:lastRenderedPageBreak/>
        <w:t>учебного года, переводятся в следующий класс.</w:t>
      </w:r>
    </w:p>
    <w:p w:rsidR="00A3571C" w:rsidRPr="0024398F" w:rsidRDefault="00A3571C">
      <w:pPr>
        <w:rPr>
          <w:highlight w:val="yellow"/>
        </w:rPr>
      </w:pPr>
      <w:r w:rsidRPr="0024398F">
        <w:rPr>
          <w:highlight w:val="yellow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A3571C" w:rsidRPr="0024398F" w:rsidRDefault="00A3571C">
      <w:pPr>
        <w:rPr>
          <w:highlight w:val="yellow"/>
        </w:rPr>
      </w:pPr>
      <w:r w:rsidRPr="0024398F">
        <w:rPr>
          <w:highlight w:val="yellow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3571C" w:rsidRDefault="00A3571C">
      <w:r w:rsidRPr="0024398F">
        <w:rPr>
          <w:highlight w:val="yellow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3571C" w:rsidRDefault="00A3571C"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A3571C" w:rsidRDefault="00A3571C"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организациями*(16).</w:t>
      </w:r>
    </w:p>
    <w:p w:rsidR="00A3571C" w:rsidRDefault="00A3571C"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организацией*(17).</w:t>
      </w:r>
    </w:p>
    <w:p w:rsidR="00A3571C" w:rsidRDefault="00A3571C"/>
    <w:p w:rsidR="00A3571C" w:rsidRDefault="00A3571C">
      <w:pPr>
        <w:pStyle w:val="1"/>
      </w:pPr>
      <w:r>
        <w:t>III. Особенности организации образовательной деятельности для лиц с ограниченными возможностями здоровья</w:t>
      </w:r>
    </w:p>
    <w:p w:rsidR="00A3571C" w:rsidRDefault="00A3571C"/>
    <w:p w:rsidR="00A3571C" w:rsidRDefault="00A3571C">
      <w: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инвалида*(18).</w:t>
      </w:r>
    </w:p>
    <w:p w:rsidR="00A3571C" w:rsidRDefault="00A3571C"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3571C" w:rsidRDefault="00A3571C"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A3571C" w:rsidRDefault="00A3571C">
      <w:r>
        <w:t>а) для обучающихся с ограниченными возможностями здоровья по зрению: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адаптация официальных сайтов образовательных организаций в сети “Интернет”с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A3571C" w:rsidRDefault="00A3571C">
      <w:r>
        <w:t>присутствие ассистента, оказывающего учащемуся необходимую помощь;</w:t>
      </w:r>
    </w:p>
    <w:p w:rsidR="00A3571C" w:rsidRDefault="00A3571C">
      <w:r>
        <w:t>обеспечение выпуска альтернативных форматов печатных материалов (крупный шрифт) или аудиофайлов;</w:t>
      </w:r>
    </w:p>
    <w:p w:rsidR="00A3571C" w:rsidRDefault="00A3571C"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3571C" w:rsidRDefault="00A3571C">
      <w:r>
        <w:lastRenderedPageBreak/>
        <w:t>б) для учащихся с ограниченными возможностями здоровья по слуху:</w:t>
      </w:r>
    </w:p>
    <w:p w:rsidR="00A3571C" w:rsidRDefault="00A3571C"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3571C" w:rsidRDefault="00A3571C">
      <w:r>
        <w:t>обеспечение надлежащими звуковыми средствами воспроизведения информации;</w:t>
      </w:r>
    </w:p>
    <w:p w:rsidR="00A3571C" w:rsidRDefault="00A3571C"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A3571C" w:rsidRDefault="00A3571C">
      <w:r>
        <w:t>в) для учащихся, имеющих нарушения опорно-двигательного аппарата:</w:t>
      </w:r>
    </w:p>
    <w:p w:rsidR="00A3571C" w:rsidRDefault="00A3571C"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3571C" w:rsidRDefault="00A3571C">
      <w: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A3571C" w:rsidRDefault="00A3571C"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A3571C" w:rsidRDefault="00A3571C"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здоровья*(19).</w:t>
      </w:r>
    </w:p>
    <w:p w:rsidR="00A3571C" w:rsidRDefault="00A3571C">
      <w: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3571C" w:rsidRDefault="00A3571C">
      <w:r>
        <w:t>1 отделение - для учащихся с легким недоразвитием речи, обусловленным нарушением слуха;</w:t>
      </w:r>
    </w:p>
    <w:p w:rsidR="00A3571C" w:rsidRDefault="00A3571C">
      <w:r>
        <w:t>2 отделение - для учащихся с глубоким недоразвитием речи, обусловленным нарушением слуха.</w:t>
      </w:r>
    </w:p>
    <w:p w:rsidR="00A3571C" w:rsidRDefault="00A3571C">
      <w: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A3571C" w:rsidRDefault="00A3571C">
      <w:r>
        <w:t>Основой обучения слепых учащихся является система Брайля.</w:t>
      </w:r>
    </w:p>
    <w:p w:rsidR="00A3571C" w:rsidRDefault="00A3571C"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3571C" w:rsidRDefault="00A3571C"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A3571C" w:rsidRDefault="00A3571C">
      <w:r>
        <w:t>2 отделение - для учащихся с тяжелой формой заикания при нормальном развитии речи.</w:t>
      </w:r>
    </w:p>
    <w:p w:rsidR="00A3571C" w:rsidRDefault="00A3571C"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3571C" w:rsidRPr="00A553AE" w:rsidRDefault="00A3571C">
      <w:r>
        <w:t xml:space="preserve">28. </w:t>
      </w:r>
      <w:r w:rsidRPr="0024398F">
        <w:rPr>
          <w:highlight w:val="yellow"/>
        </w:rPr>
        <w:t>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3571C" w:rsidRPr="00A553AE" w:rsidRDefault="00A3571C">
      <w:r w:rsidRPr="00A553AE"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3571C" w:rsidRPr="00A553AE" w:rsidRDefault="00A3571C">
      <w:r w:rsidRPr="00A553AE">
        <w:lastRenderedPageBreak/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A3571C" w:rsidRPr="00A553AE" w:rsidRDefault="00A3571C">
      <w:r w:rsidRPr="00A553AE"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A3571C" w:rsidRPr="00A553AE" w:rsidRDefault="00A3571C">
      <w:r w:rsidRPr="00A553AE"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A3571C" w:rsidRPr="00A553AE" w:rsidRDefault="00A3571C">
      <w:r w:rsidRPr="00A553AE"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аутистического спектра на одну ставку должности педагога-психолога.</w:t>
      </w:r>
    </w:p>
    <w:p w:rsidR="00A3571C" w:rsidRPr="00A553AE" w:rsidRDefault="00A3571C">
      <w:r w:rsidRPr="00A553AE">
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A3571C" w:rsidRDefault="00A3571C">
      <w:r w:rsidRPr="00A553AE">
        <w:t>В классы (группы) с углубленным изучением отдельных учебных предметов, предметных областей соответствующей образовательной</w:t>
      </w:r>
      <w:r>
        <w:t xml:space="preserve">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A3571C" w:rsidRDefault="00A3571C"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A3571C" w:rsidRDefault="00A3571C"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учителя-логопеда на каждые 6 - 12 учащихся с ограниченными возможностями здоровья;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педагога-психолога на каждые 20 учащихся с ограниченными возможностями здоровья;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тьютора, ассистента (помощника) на каждые 1 - 6 учащихся с ограниченными возможностями здоровья.</w:t>
      </w:r>
    </w:p>
    <w:p w:rsidR="00A3571C" w:rsidRDefault="00A3571C">
      <w: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организациях*(20)</w:t>
      </w:r>
    </w:p>
    <w:p w:rsidR="00A3571C" w:rsidRDefault="00A3571C"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</w:t>
      </w:r>
      <w:r>
        <w:lastRenderedPageBreak/>
        <w:t>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Федерации*(21).</w:t>
      </w:r>
    </w:p>
    <w:p w:rsidR="00A3571C" w:rsidRDefault="00A3571C"/>
    <w:p w:rsidR="00A3571C" w:rsidRDefault="00A3571C">
      <w:pPr>
        <w:pStyle w:val="OEM"/>
      </w:pPr>
      <w:r>
        <w:t>_____________________________</w:t>
      </w:r>
    </w:p>
    <w:p w:rsidR="00A3571C" w:rsidRDefault="00A3571C">
      <w:r>
        <w:t>*(1) Часть 4 статьи 63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*(2) Часть 5 статьи 63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*(3) Часть 3 статьи 17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*(4) Часть 5 статьи 17 Федерального закона от 29 декабря 2012 г. № 273-ФЗ “Об образовании в Российской Федерации”(Собрание законодательства Российской Федерации, 2012, № ”53, ст. 7598; 2013, № 19, ст. 2326)</w:t>
      </w:r>
    </w:p>
    <w:p w:rsidR="00A3571C" w:rsidRDefault="00A3571C">
      <w:r>
        <w:t>*(5) Часть 4 статьи 17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*(6) Часть 4 статьи 11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*(7) Часть 7 статьи 12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*(8) Часть 2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*(9) Часть 1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*(10) Часть 3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*(11) Часть 3 статьи 14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*(12) Часть 5 статьи 14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*(13) Часть 7 статьи 66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*(14) Пункт 10.1 Санитарно-эпидемиологических требований к условиям и организации обучения в общеобразовательных учреждениях “Санитарно-эпидемиологические правила и нормативы СанПиН 2.4.2.2821-10”, утвержденных постановлением Главного государственного санитарного врача Российской Федерации от 29 декабря 2010 г. № 189 (зарегистрированы Министерством юстиции Российской Федерации 3 марта 2011 г., регистрационный № 19993), с изменениями, внесенными постановлением Главного государственного санитарного врача Российской Федерации от 29 июня 2011 г. № 85 (зарегистрированы Министерством юстиции Российской Федерации 15 декабря 2011 г., регистрационный № 22637)</w:t>
      </w:r>
    </w:p>
    <w:p w:rsidR="00A3571C" w:rsidRDefault="00A3571C">
      <w:r>
        <w:lastRenderedPageBreak/>
        <w:t>*(15) Часть 1 статьи 58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*(16) Часть 3 статьи 60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*(17) Часть 12 статьи 60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*(18) Часть 1 статьи 79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*(19) Пункт 1 части 5 статьи 5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*(20) Часть 5 статьи 41 Федерального закона от 29 декабря 2012 г. № 273 -ФЗ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*(21) Часть 6 статьи 41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/>
    <w:sectPr w:rsidR="00A3571C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1C"/>
    <w:rsid w:val="001D708C"/>
    <w:rsid w:val="0024398F"/>
    <w:rsid w:val="00A3571C"/>
    <w:rsid w:val="00A553AE"/>
    <w:rsid w:val="00AB53F2"/>
    <w:rsid w:val="00B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0">
    <w:name w:val="Не вступил в силу"/>
    <w:basedOn w:val="aff"/>
    <w:uiPriority w:val="99"/>
    <w:rPr>
      <w:rFonts w:cs="Times New Roman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2">
    <w:name w:val="Нормальный (аннотация)"/>
    <w:basedOn w:val="a"/>
    <w:next w:val="a"/>
    <w:uiPriority w:val="99"/>
  </w:style>
  <w:style w:type="paragraph" w:customStyle="1" w:styleId="aff3">
    <w:name w:val="Объект"/>
    <w:basedOn w:val="a"/>
    <w:next w:val="a"/>
    <w:uiPriority w:val="99"/>
  </w:style>
  <w:style w:type="paragraph" w:customStyle="1" w:styleId="aff4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</w:style>
  <w:style w:type="paragraph" w:customStyle="1" w:styleId="aff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</w:style>
  <w:style w:type="character" w:customStyle="1" w:styleId="affc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</w:style>
  <w:style w:type="paragraph" w:customStyle="1" w:styleId="afff">
    <w:name w:val="Текст в таблице"/>
    <w:basedOn w:val="af6"/>
    <w:next w:val="a"/>
    <w:uiPriority w:val="99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3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0">
    <w:name w:val="Не вступил в силу"/>
    <w:basedOn w:val="aff"/>
    <w:uiPriority w:val="99"/>
    <w:rPr>
      <w:rFonts w:cs="Times New Roman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2">
    <w:name w:val="Нормальный (аннотация)"/>
    <w:basedOn w:val="a"/>
    <w:next w:val="a"/>
    <w:uiPriority w:val="99"/>
  </w:style>
  <w:style w:type="paragraph" w:customStyle="1" w:styleId="aff3">
    <w:name w:val="Объект"/>
    <w:basedOn w:val="a"/>
    <w:next w:val="a"/>
    <w:uiPriority w:val="99"/>
  </w:style>
  <w:style w:type="paragraph" w:customStyle="1" w:styleId="aff4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</w:style>
  <w:style w:type="paragraph" w:customStyle="1" w:styleId="aff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</w:style>
  <w:style w:type="character" w:customStyle="1" w:styleId="affc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</w:style>
  <w:style w:type="paragraph" w:customStyle="1" w:styleId="afff">
    <w:name w:val="Текст в таблице"/>
    <w:basedOn w:val="af6"/>
    <w:next w:val="a"/>
    <w:uiPriority w:val="99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3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Лена</cp:lastModifiedBy>
  <cp:revision>2</cp:revision>
  <dcterms:created xsi:type="dcterms:W3CDTF">2017-10-23T17:12:00Z</dcterms:created>
  <dcterms:modified xsi:type="dcterms:W3CDTF">2017-10-23T17:12:00Z</dcterms:modified>
</cp:coreProperties>
</file>